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keepNext/>
        <w:keepLines/>
        <w:spacing w:before="240" w:after="0" w:line="240" w:lineRule="auto"/>
        <w:jc w:val="right"/>
        <w:outlineLvl w:val="0"/>
        <w:rPr>
          <w:rFonts w:ascii="Verdana" w:eastAsiaTheme="majorEastAsia" w:hAnsi="Verdana" w:cstheme="majorBidi"/>
          <w:b/>
          <w:sz w:val="20"/>
          <w:szCs w:val="20"/>
        </w:rPr>
      </w:pPr>
      <w:bookmarkStart w:id="0" w:name="_Toc114130658"/>
      <w:r>
        <w:rPr>
          <w:rFonts w:ascii="Verdana" w:eastAsiaTheme="majorEastAsia" w:hAnsi="Verdana" w:cstheme="majorBidi"/>
          <w:b/>
          <w:sz w:val="20"/>
          <w:szCs w:val="20"/>
        </w:rPr>
        <w:t>ANEXA INDICATORI DE PERFORMANȚĂ</w:t>
      </w:r>
    </w:p>
    <w:p>
      <w:pPr>
        <w:keepNext/>
        <w:keepLines/>
        <w:spacing w:before="240" w:after="0" w:line="240" w:lineRule="auto"/>
        <w:jc w:val="both"/>
        <w:outlineLvl w:val="0"/>
        <w:rPr>
          <w:rFonts w:ascii="Verdana" w:eastAsiaTheme="majorEastAsia" w:hAnsi="Verdana" w:cstheme="majorBidi"/>
          <w:b/>
          <w:sz w:val="20"/>
          <w:szCs w:val="20"/>
        </w:rPr>
      </w:pPr>
      <w:r>
        <w:rPr>
          <w:rFonts w:ascii="Verdana" w:eastAsiaTheme="majorEastAsia" w:hAnsi="Verdana" w:cstheme="majorBidi"/>
          <w:b/>
          <w:sz w:val="20"/>
          <w:szCs w:val="20"/>
        </w:rPr>
        <w:t>ANEXA INDICATORI DE PERFORMANŢĂ PRIVIND PRESTAREA SERVICIULUI DE OPERARE A STAȚIEI DE TRATARE MECANO-BIOLOGICĂ ŞI A STAŢIEI DE TRANSFER GALAŢI</w:t>
      </w:r>
      <w:bookmarkEnd w:id="0"/>
    </w:p>
    <w:p>
      <w:pPr>
        <w:tabs>
          <w:tab w:val="left" w:pos="5827"/>
        </w:tabs>
        <w:spacing w:after="120" w:line="240" w:lineRule="auto"/>
        <w:jc w:val="both"/>
        <w:rPr>
          <w:rFonts w:ascii="Verdana" w:hAnsi="Verdana"/>
          <w:sz w:val="20"/>
          <w:szCs w:val="20"/>
        </w:rPr>
      </w:pPr>
    </w:p>
    <w:p>
      <w:pPr>
        <w:tabs>
          <w:tab w:val="left" w:pos="5827"/>
        </w:tabs>
        <w:spacing w:after="120" w:line="240" w:lineRule="auto"/>
        <w:jc w:val="both"/>
        <w:rPr>
          <w:rFonts w:ascii="Verdana" w:hAnsi="Verdana"/>
          <w:sz w:val="20"/>
          <w:szCs w:val="20"/>
        </w:rPr>
      </w:pPr>
      <w:r>
        <w:rPr>
          <w:rFonts w:ascii="Verdana" w:hAnsi="Verdana"/>
          <w:sz w:val="20"/>
          <w:szCs w:val="20"/>
        </w:rPr>
        <w:t>Indicatorii de performanţă aferenţi serviciului de operare a stației de tratare mecano-biologică şi a staţiei de transfer pe care Antreprenorul va trebui să îi realizeze sunt prezentaţi în următorul tabel:</w:t>
      </w:r>
    </w:p>
    <w:tbl>
      <w:tblPr>
        <w:tblW w:w="0" w:type="auto"/>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1E0" w:firstRow="1" w:lastRow="1" w:firstColumn="1" w:lastColumn="1" w:noHBand="0" w:noVBand="0"/>
      </w:tblPr>
      <w:tblGrid>
        <w:gridCol w:w="704"/>
        <w:gridCol w:w="1134"/>
        <w:gridCol w:w="4066"/>
        <w:gridCol w:w="709"/>
        <w:gridCol w:w="2693"/>
        <w:gridCol w:w="3557"/>
        <w:gridCol w:w="1731"/>
      </w:tblGrid>
      <w:tr>
        <w:trPr>
          <w:trHeight w:val="936"/>
          <w:tblHeader/>
          <w:jc w:val="center"/>
        </w:trPr>
        <w:tc>
          <w:tcPr>
            <w:tcW w:w="704" w:type="dxa"/>
            <w:tcBorders>
              <w:bottom w:val="single" w:sz="12" w:space="0" w:color="9CC2E5"/>
            </w:tcBorders>
            <w:shd w:val="clear" w:color="auto" w:fill="D9E2F3"/>
          </w:tcPr>
          <w:p>
            <w:pPr>
              <w:widowControl w:val="0"/>
              <w:snapToGrid w:val="0"/>
              <w:spacing w:after="0" w:line="240" w:lineRule="auto"/>
              <w:jc w:val="center"/>
              <w:rPr>
                <w:rFonts w:ascii="Verdana" w:eastAsia="Calibri" w:hAnsi="Verdana" w:cs="Calibri Light"/>
                <w:b/>
                <w:bCs/>
                <w:i/>
                <w:iCs/>
                <w:sz w:val="20"/>
                <w:szCs w:val="20"/>
                <w:lang w:val="ro-RO"/>
              </w:rPr>
            </w:pPr>
          </w:p>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Nr. crt.</w:t>
            </w:r>
          </w:p>
        </w:tc>
        <w:tc>
          <w:tcPr>
            <w:tcW w:w="1134"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12"/>
                <w:szCs w:val="12"/>
                <w:lang w:val="ro-RO"/>
              </w:rPr>
            </w:pPr>
            <w:r>
              <w:rPr>
                <w:rFonts w:ascii="Verdana" w:eastAsia="Calibri" w:hAnsi="Verdana" w:cs="Calibri Light"/>
                <w:b/>
                <w:bCs/>
                <w:i/>
                <w:iCs/>
                <w:sz w:val="12"/>
                <w:szCs w:val="12"/>
                <w:lang w:val="ro-RO"/>
              </w:rPr>
              <w:t>Regulament salubrizare</w:t>
            </w:r>
          </w:p>
        </w:tc>
        <w:tc>
          <w:tcPr>
            <w:tcW w:w="4066"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Indicator de performanță</w:t>
            </w:r>
          </w:p>
        </w:tc>
        <w:tc>
          <w:tcPr>
            <w:tcW w:w="709"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UM</w:t>
            </w:r>
          </w:p>
        </w:tc>
        <w:tc>
          <w:tcPr>
            <w:tcW w:w="2693"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Țintă</w:t>
            </w:r>
          </w:p>
        </w:tc>
        <w:tc>
          <w:tcPr>
            <w:tcW w:w="3557"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Penalități</w:t>
            </w:r>
          </w:p>
        </w:tc>
        <w:tc>
          <w:tcPr>
            <w:tcW w:w="1731" w:type="dxa"/>
            <w:tcBorders>
              <w:bottom w:val="single" w:sz="12" w:space="0" w:color="9CC2E5"/>
            </w:tcBorders>
            <w:shd w:val="clear" w:color="auto" w:fill="D9E2F3"/>
            <w:vAlign w:val="center"/>
          </w:tcPr>
          <w:p>
            <w:pPr>
              <w:widowControl w:val="0"/>
              <w:snapToGrid w:val="0"/>
              <w:spacing w:after="0" w:line="240" w:lineRule="auto"/>
              <w:jc w:val="center"/>
              <w:rPr>
                <w:rFonts w:ascii="Verdana" w:eastAsia="Calibri" w:hAnsi="Verdana" w:cs="Calibri Light"/>
                <w:b/>
                <w:bCs/>
                <w:i/>
                <w:iCs/>
                <w:sz w:val="20"/>
                <w:szCs w:val="20"/>
                <w:lang w:val="ro-RO"/>
              </w:rPr>
            </w:pPr>
            <w:r>
              <w:rPr>
                <w:rFonts w:ascii="Verdana" w:eastAsia="Calibri" w:hAnsi="Verdana" w:cs="Calibri Light"/>
                <w:b/>
                <w:bCs/>
                <w:i/>
                <w:iCs/>
                <w:sz w:val="20"/>
                <w:szCs w:val="20"/>
                <w:lang w:val="ro-RO"/>
              </w:rPr>
              <w:t>Frecvența de monitorizare</w:t>
            </w:r>
          </w:p>
        </w:tc>
      </w:tr>
      <w:tr>
        <w:trPr>
          <w:jc w:val="center"/>
        </w:trPr>
        <w:tc>
          <w:tcPr>
            <w:tcW w:w="704" w:type="dxa"/>
            <w:shd w:val="clear" w:color="auto" w:fill="E2EFD9"/>
          </w:tcPr>
          <w:p>
            <w:pPr>
              <w:widowControl w:val="0"/>
              <w:snapToGrid w:val="0"/>
              <w:spacing w:after="0" w:line="240" w:lineRule="auto"/>
              <w:jc w:val="center"/>
              <w:rPr>
                <w:rFonts w:ascii="Verdana" w:eastAsia="Calibri" w:hAnsi="Verdana" w:cs="Calibri Light"/>
                <w:b/>
                <w:bCs/>
                <w:sz w:val="20"/>
                <w:szCs w:val="20"/>
                <w:lang w:val="ro-RO"/>
              </w:rPr>
            </w:pPr>
          </w:p>
        </w:tc>
        <w:tc>
          <w:tcPr>
            <w:tcW w:w="13890" w:type="dxa"/>
            <w:gridSpan w:val="6"/>
            <w:shd w:val="clear" w:color="auto" w:fill="E2EFD9"/>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b/>
                <w:bCs/>
                <w:sz w:val="20"/>
                <w:szCs w:val="20"/>
                <w:lang w:val="ro-RO"/>
              </w:rPr>
              <w:t>Eficiență în operarea Stației de Tratare Mecano-Biologică</w:t>
            </w:r>
          </w:p>
        </w:tc>
      </w:tr>
      <w:tr>
        <w:trPr>
          <w:jc w:val="center"/>
        </w:trPr>
        <w:tc>
          <w:tcPr>
            <w:tcW w:w="704" w:type="dxa"/>
            <w:shd w:val="clear" w:color="auto" w:fill="E2EFD9"/>
          </w:tcPr>
          <w:p>
            <w:pPr>
              <w:widowControl w:val="0"/>
              <w:snapToGrid w:val="0"/>
              <w:spacing w:after="0" w:line="240" w:lineRule="auto"/>
              <w:ind w:left="360"/>
              <w:contextualSpacing/>
              <w:jc w:val="both"/>
              <w:rPr>
                <w:rFonts w:ascii="Verdana" w:eastAsia="Times New Roman" w:hAnsi="Verdana" w:cs="Calibri Light"/>
                <w:b/>
                <w:bCs/>
                <w:sz w:val="20"/>
                <w:szCs w:val="20"/>
                <w:lang w:val="en-US"/>
              </w:rPr>
            </w:pPr>
          </w:p>
        </w:tc>
        <w:tc>
          <w:tcPr>
            <w:tcW w:w="13890" w:type="dxa"/>
            <w:gridSpan w:val="6"/>
            <w:shd w:val="clear" w:color="auto" w:fill="E2EFD9"/>
            <w:vAlign w:val="center"/>
          </w:tcPr>
          <w:p>
            <w:pPr>
              <w:widowControl w:val="0"/>
              <w:numPr>
                <w:ilvl w:val="0"/>
                <w:numId w:val="1"/>
              </w:numPr>
              <w:snapToGrid w:val="0"/>
              <w:spacing w:after="0" w:line="240" w:lineRule="auto"/>
              <w:contextualSpacing/>
              <w:jc w:val="both"/>
              <w:rPr>
                <w:rFonts w:ascii="Verdana" w:eastAsia="Times New Roman" w:hAnsi="Verdana" w:cs="Calibri Light"/>
                <w:b/>
                <w:bCs/>
                <w:sz w:val="20"/>
                <w:szCs w:val="20"/>
                <w:lang w:val="en-US"/>
              </w:rPr>
            </w:pPr>
            <w:r>
              <w:rPr>
                <w:rFonts w:ascii="Verdana" w:eastAsia="Times New Roman" w:hAnsi="Verdana" w:cs="Calibri Light"/>
                <w:b/>
                <w:bCs/>
                <w:sz w:val="20"/>
                <w:szCs w:val="20"/>
                <w:lang w:val="en-US"/>
              </w:rPr>
              <w:t>Eficiență în operarea liniei de tratarea mecanică</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2.11</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Cantitatea totală de deșeuri reciclabile (hârtie, carton, metal, sticlă) trimise anual la reciclare ca procent din cantitatea de deșeuri reziduale  și reziduuri de sortare și compostare acceptate la intrarea în instalația TMB</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min. 5 %</w:t>
            </w: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tc>
        <w:tc>
          <w:tcPr>
            <w:tcW w:w="3557" w:type="dxa"/>
          </w:tcPr>
          <w:p>
            <w:pPr>
              <w:widowControl w:val="0"/>
              <w:tabs>
                <w:tab w:val="left" w:pos="180"/>
              </w:tabs>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Pentru cantități inferioare valorii propuse se va aplica următoarea formulă de calcul a penalizării: P= (MT-MV) x V, unde: P = penalitatea MT = cantitatea (masa) de deșeuri necesar a fi reciclată MV = cantitatea (masa) de deșeuri efectiv reciclate V = prețul mediu anual de vânzare a deșeurilor reciclabile</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2</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2.12</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Times New Roman"/>
                <w:sz w:val="20"/>
                <w:szCs w:val="20"/>
                <w:lang w:val="ro-RO"/>
              </w:rPr>
              <w:t xml:space="preserve">Cantitatea de deșeuri trimisă anual la valorificare energetică ca procent din cantitatea totală   de deșeuri acceptate la instalația TMB reziduale, deșeuri textile și deșeuri voluminoase acceptate în instalația TMB </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 xml:space="preserve">min. 13% </w:t>
            </w: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tc>
        <w:tc>
          <w:tcPr>
            <w:tcW w:w="3557" w:type="dxa"/>
          </w:tcPr>
          <w:p>
            <w:pPr>
              <w:widowControl w:val="0"/>
              <w:tabs>
                <w:tab w:val="left" w:pos="180"/>
              </w:tabs>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 xml:space="preserve">Pentru cantități inferioare valorii propuse se va aplica următoarea formulă de calcul a penalizării: P= (MT-MV) x 1,15 x CRDF, unde: P = penalitatea MT = cantitatea (masa) de deșeuri necesar a fi valorificate energetic MV = cantitatea (masa) de deșeuri efectiv valorificate energetic CRDF = costul mediu anual de transport și valorificare </w:t>
            </w:r>
            <w:r>
              <w:rPr>
                <w:rFonts w:ascii="Verdana" w:eastAsia="Calibri" w:hAnsi="Verdana" w:cs="Calibri Light"/>
                <w:sz w:val="20"/>
                <w:szCs w:val="20"/>
                <w:lang w:val="ro-RO"/>
              </w:rPr>
              <w:lastRenderedPageBreak/>
              <w:t>a RDF</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lastRenderedPageBreak/>
              <w:t>Anual</w:t>
            </w:r>
          </w:p>
        </w:tc>
      </w:tr>
      <w:tr>
        <w:trPr>
          <w:jc w:val="center"/>
        </w:trPr>
        <w:tc>
          <w:tcPr>
            <w:tcW w:w="704" w:type="dxa"/>
            <w:shd w:val="clear" w:color="auto" w:fill="E2EFD9"/>
          </w:tcPr>
          <w:p>
            <w:pPr>
              <w:widowControl w:val="0"/>
              <w:snapToGrid w:val="0"/>
              <w:spacing w:after="0" w:line="240" w:lineRule="auto"/>
              <w:ind w:left="360"/>
              <w:contextualSpacing/>
              <w:jc w:val="both"/>
              <w:rPr>
                <w:rFonts w:ascii="Verdana" w:eastAsia="Times New Roman" w:hAnsi="Verdana" w:cs="Calibri Light"/>
                <w:b/>
                <w:bCs/>
                <w:sz w:val="20"/>
                <w:szCs w:val="20"/>
                <w:lang w:val="en-US"/>
              </w:rPr>
            </w:pPr>
          </w:p>
        </w:tc>
        <w:tc>
          <w:tcPr>
            <w:tcW w:w="13890" w:type="dxa"/>
            <w:gridSpan w:val="6"/>
            <w:shd w:val="clear" w:color="auto" w:fill="E2EFD9"/>
            <w:vAlign w:val="center"/>
          </w:tcPr>
          <w:p>
            <w:pPr>
              <w:widowControl w:val="0"/>
              <w:numPr>
                <w:ilvl w:val="0"/>
                <w:numId w:val="1"/>
              </w:numPr>
              <w:snapToGrid w:val="0"/>
              <w:spacing w:after="0" w:line="240" w:lineRule="auto"/>
              <w:contextualSpacing/>
              <w:jc w:val="both"/>
              <w:rPr>
                <w:rFonts w:ascii="Verdana" w:eastAsia="Times New Roman" w:hAnsi="Verdana" w:cs="Calibri Light"/>
                <w:b/>
                <w:bCs/>
                <w:sz w:val="20"/>
                <w:szCs w:val="20"/>
                <w:lang w:val="en-US"/>
              </w:rPr>
            </w:pPr>
            <w:r>
              <w:rPr>
                <w:rFonts w:ascii="Verdana" w:eastAsia="Times New Roman" w:hAnsi="Verdana" w:cs="Calibri Light"/>
                <w:b/>
                <w:bCs/>
                <w:sz w:val="20"/>
                <w:szCs w:val="20"/>
                <w:lang w:val="en-US"/>
              </w:rPr>
              <w:t>Eficiență în operarea digestoarelor</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3</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2.14</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Times New Roman"/>
                <w:sz w:val="20"/>
                <w:szCs w:val="20"/>
                <w:lang w:val="ro-RO"/>
              </w:rPr>
              <w:t xml:space="preserve">Cantitatea de compost obținut anual din biodeșeuri colectate separat ca procent din cantitatea de biodeșeuri colectate separat acceptată la instalația  TMB </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min. 16 %</w:t>
            </w:r>
          </w:p>
        </w:tc>
        <w:tc>
          <w:tcPr>
            <w:tcW w:w="3557" w:type="dxa"/>
          </w:tcPr>
          <w:p>
            <w:pPr>
              <w:widowControl w:val="0"/>
              <w:tabs>
                <w:tab w:val="left" w:pos="180"/>
              </w:tabs>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Pentru cantități valorificate mai mici decât valorile propuse, Operatorul TMB  va suporta costurile aferente taxei / tarifului de depozitare și a CEC aferente pentru cantitatea depozitată ce depășește cantitatea corespunzătoare valorilor propuse, fără a le putea introduce în tarif. Aceste costuri vor fi determinate de către Autoritățile contractante conform reglementărilor în vigoare și scăzute din factura operatorului TMB sub formă de penalități pentru neîndeplinirea indicatorilor de performanță.</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r>
        <w:trPr>
          <w:jc w:val="center"/>
        </w:trPr>
        <w:tc>
          <w:tcPr>
            <w:tcW w:w="704" w:type="dxa"/>
            <w:shd w:val="clear" w:color="auto" w:fill="E2EFD9"/>
          </w:tcPr>
          <w:p>
            <w:pPr>
              <w:widowControl w:val="0"/>
              <w:snapToGrid w:val="0"/>
              <w:spacing w:after="0" w:line="240" w:lineRule="auto"/>
              <w:ind w:left="360"/>
              <w:contextualSpacing/>
              <w:jc w:val="both"/>
              <w:rPr>
                <w:rFonts w:ascii="Verdana" w:eastAsia="Times New Roman" w:hAnsi="Verdana" w:cs="Calibri Light"/>
                <w:b/>
                <w:bCs/>
                <w:sz w:val="20"/>
                <w:szCs w:val="20"/>
                <w:lang w:val="en-US"/>
              </w:rPr>
            </w:pPr>
          </w:p>
        </w:tc>
        <w:tc>
          <w:tcPr>
            <w:tcW w:w="13890" w:type="dxa"/>
            <w:gridSpan w:val="6"/>
            <w:shd w:val="clear" w:color="auto" w:fill="E2EFD9"/>
            <w:vAlign w:val="center"/>
          </w:tcPr>
          <w:p>
            <w:pPr>
              <w:widowControl w:val="0"/>
              <w:numPr>
                <w:ilvl w:val="0"/>
                <w:numId w:val="1"/>
              </w:numPr>
              <w:snapToGrid w:val="0"/>
              <w:spacing w:after="0" w:line="240" w:lineRule="auto"/>
              <w:contextualSpacing/>
              <w:jc w:val="both"/>
              <w:rPr>
                <w:rFonts w:ascii="Verdana" w:eastAsia="Times New Roman" w:hAnsi="Verdana" w:cs="Calibri Light"/>
                <w:b/>
                <w:bCs/>
                <w:sz w:val="20"/>
                <w:szCs w:val="20"/>
                <w:lang w:val="en-US"/>
              </w:rPr>
            </w:pPr>
            <w:r>
              <w:rPr>
                <w:rFonts w:ascii="Verdana" w:eastAsia="Times New Roman" w:hAnsi="Verdana" w:cs="Calibri Light"/>
                <w:b/>
                <w:bCs/>
                <w:sz w:val="20"/>
                <w:szCs w:val="20"/>
                <w:lang w:val="en-US"/>
              </w:rPr>
              <w:t>Eficiență în operarea instalației de tratare mecano-biologică</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4</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2.15</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Times New Roman"/>
                <w:sz w:val="20"/>
                <w:szCs w:val="20"/>
                <w:lang w:val="ro-RO"/>
              </w:rPr>
              <w:t xml:space="preserve">Cantitatea de deșeuri trimisă anual la depozitare ca procent din cantitatea totală de deșeuri acceptată reziduale și biodeșeuri colectate separat acceptată la instalația TMB </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 xml:space="preserve">max. 20% </w:t>
            </w:r>
          </w:p>
        </w:tc>
        <w:tc>
          <w:tcPr>
            <w:tcW w:w="3557" w:type="dxa"/>
          </w:tcPr>
          <w:p>
            <w:pPr>
              <w:widowControl w:val="0"/>
              <w:tabs>
                <w:tab w:val="left" w:pos="180"/>
              </w:tabs>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 xml:space="preserve">Pentru cantități depozitate mai mari decât valorile indicatorului, costul corespunzător tarifului de depozitare și a contribuției la economia circulară aferent acestora este suportat de către operatorul TMB, fără a putea fi inclus în tarif. Acest cost va fi determinat de către Autoritățile contractante conform reglementărilor în vigoare și scăzut din factura </w:t>
            </w:r>
            <w:r>
              <w:rPr>
                <w:rFonts w:ascii="Verdana" w:eastAsia="Calibri" w:hAnsi="Verdana" w:cs="Calibri Light"/>
                <w:sz w:val="20"/>
                <w:szCs w:val="20"/>
                <w:lang w:val="ro-RO"/>
              </w:rPr>
              <w:lastRenderedPageBreak/>
              <w:t>Antreprenorului sub formă de penalități pentru neîndeplinirea indicatorilor de performanță.</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lastRenderedPageBreak/>
              <w:t>Anual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2.16</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Times New Roman"/>
                <w:sz w:val="20"/>
                <w:szCs w:val="20"/>
                <w:lang w:val="ro-RO"/>
              </w:rPr>
              <w:t>Cantitatea de energie totală generată anual din procesarea biogazului obținut raportată la cantitatea de energie totală consumată anual</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Mai mare de 100%</w:t>
            </w:r>
          </w:p>
        </w:tc>
        <w:tc>
          <w:tcPr>
            <w:tcW w:w="3557" w:type="dxa"/>
          </w:tcPr>
          <w:p>
            <w:pPr>
              <w:widowControl w:val="0"/>
              <w:tabs>
                <w:tab w:val="left" w:pos="180"/>
              </w:tabs>
              <w:snapToGrid w:val="0"/>
              <w:spacing w:after="0" w:line="240" w:lineRule="auto"/>
              <w:jc w:val="both"/>
              <w:rPr>
                <w:rFonts w:ascii="Verdana" w:eastAsia="Calibri" w:hAnsi="Verdana" w:cs="Calibri Light"/>
                <w:sz w:val="20"/>
                <w:szCs w:val="20"/>
                <w:lang w:val="ro-RO"/>
              </w:rPr>
            </w:pPr>
            <w:r>
              <w:rPr>
                <w:rFonts w:ascii="Verdana" w:eastAsia="Calibri" w:hAnsi="Verdana" w:cs="Times New Roman"/>
                <w:sz w:val="20"/>
                <w:szCs w:val="20"/>
                <w:lang w:val="ro-RO"/>
              </w:rPr>
              <w:t>Costurile aferente energiei achiziționate vor fi suportate de Operatorul TMB, fără a putea include aceste costuri în tarif și fără a putea factura Autorităților contractante aceste sume</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r>
        <w:trPr>
          <w:jc w:val="center"/>
        </w:trPr>
        <w:tc>
          <w:tcPr>
            <w:tcW w:w="704" w:type="dxa"/>
            <w:shd w:val="clear" w:color="auto" w:fill="FFF2CC"/>
          </w:tcPr>
          <w:p>
            <w:pPr>
              <w:widowControl w:val="0"/>
              <w:snapToGrid w:val="0"/>
              <w:spacing w:after="0" w:line="240" w:lineRule="auto"/>
              <w:jc w:val="center"/>
              <w:rPr>
                <w:rFonts w:ascii="Verdana" w:eastAsia="Calibri" w:hAnsi="Verdana" w:cs="Calibri Light"/>
                <w:b/>
                <w:bCs/>
                <w:sz w:val="20"/>
                <w:szCs w:val="20"/>
                <w:lang w:val="ro-RO"/>
              </w:rPr>
            </w:pPr>
          </w:p>
        </w:tc>
        <w:tc>
          <w:tcPr>
            <w:tcW w:w="1134" w:type="dxa"/>
            <w:shd w:val="clear" w:color="auto" w:fill="FFF2CC"/>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b/>
                <w:bCs/>
                <w:sz w:val="20"/>
                <w:szCs w:val="20"/>
                <w:lang w:val="ro-RO"/>
              </w:rPr>
              <w:t>3</w:t>
            </w:r>
          </w:p>
        </w:tc>
        <w:tc>
          <w:tcPr>
            <w:tcW w:w="12756" w:type="dxa"/>
            <w:gridSpan w:val="5"/>
            <w:shd w:val="clear" w:color="auto" w:fill="FFF2CC"/>
            <w:vAlign w:val="center"/>
          </w:tcPr>
          <w:p>
            <w:pPr>
              <w:widowControl w:val="0"/>
              <w:snapToGrid w:val="0"/>
              <w:spacing w:after="0" w:line="240" w:lineRule="auto"/>
              <w:rPr>
                <w:rFonts w:ascii="Verdana" w:eastAsia="Calibri" w:hAnsi="Verdana" w:cs="Calibri Light"/>
                <w:b/>
                <w:bCs/>
                <w:sz w:val="20"/>
                <w:szCs w:val="20"/>
                <w:lang w:val="ro-RO"/>
              </w:rPr>
            </w:pPr>
            <w:r>
              <w:rPr>
                <w:rFonts w:ascii="Verdana" w:eastAsia="Calibri" w:hAnsi="Verdana" w:cs="Calibri Light"/>
                <w:b/>
                <w:bCs/>
                <w:sz w:val="20"/>
                <w:szCs w:val="20"/>
                <w:lang w:val="ro-RO"/>
              </w:rPr>
              <w:t>Asigurarea evaluării continue a operatorilor</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6</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3.1</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Arial"/>
                <w:sz w:val="20"/>
                <w:szCs w:val="20"/>
                <w:lang w:val="ro-RO"/>
              </w:rPr>
              <w:t>Nerespectarea criteriilor de acceptare a deșeurilor la depozitare sau în instalații/stații</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7</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3.2</w:t>
            </w:r>
          </w:p>
        </w:tc>
        <w:tc>
          <w:tcPr>
            <w:tcW w:w="4066" w:type="dxa"/>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Arial"/>
                <w:sz w:val="20"/>
                <w:szCs w:val="20"/>
                <w:lang w:val="ro-RO"/>
              </w:rPr>
              <w:t>Încălcarea de către operator a fluxului deșeurilor prevăzut în contract</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8</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3.3</w:t>
            </w:r>
          </w:p>
        </w:tc>
        <w:tc>
          <w:tcPr>
            <w:tcW w:w="4066" w:type="dxa"/>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Arial"/>
                <w:sz w:val="20"/>
                <w:szCs w:val="20"/>
                <w:lang w:val="ro-RO"/>
              </w:rPr>
              <w:t>Formarea de stocuri de deșeuri ce urmează să fie valorificate. Sunt considerate stocuri cantitățile de deșeuri, depozitate în afara zonei de depozitare</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9</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3.4</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Numărul de încălcări ale obligațiilor contractuale ale operatorului</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10</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3.5</w:t>
            </w:r>
          </w:p>
        </w:tc>
        <w:tc>
          <w:tcPr>
            <w:tcW w:w="4066" w:type="dxa"/>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Arial"/>
                <w:sz w:val="20"/>
                <w:szCs w:val="20"/>
                <w:lang w:val="ro-RO"/>
              </w:rPr>
              <w:t>Încălcarea de către operator a prevederilor regulamentului de salubrizare</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11</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3.6</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Arial"/>
                <w:sz w:val="20"/>
                <w:szCs w:val="20"/>
                <w:lang w:val="ro-RO"/>
              </w:rPr>
              <w:t xml:space="preserve">Nepunerea, în termen de cel mult 30 de zile calendaristice la dispoziția ADI ECOSERV a datelor și informațiilor solicitate sau furnizarea incorectă sau incompletă a acestora. Indicatorul se referă la datele și informațiile pe care </w:t>
            </w:r>
            <w:r>
              <w:rPr>
                <w:rFonts w:ascii="Verdana" w:eastAsia="Calibri" w:hAnsi="Verdana" w:cs="Arial"/>
                <w:sz w:val="20"/>
                <w:szCs w:val="20"/>
                <w:lang w:val="ro-RO"/>
              </w:rPr>
              <w:lastRenderedPageBreak/>
              <w:t>operatorul le deține sau ar fi trebuit să le dețină conform obligațiilor contractuale și/sau legale.</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lastRenderedPageBreak/>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12</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3.7</w:t>
            </w:r>
          </w:p>
        </w:tc>
        <w:tc>
          <w:tcPr>
            <w:tcW w:w="4066" w:type="dxa"/>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Arial"/>
                <w:sz w:val="20"/>
                <w:szCs w:val="20"/>
                <w:lang w:val="ro-RO"/>
              </w:rPr>
              <w:t>Netransmiterea, în termenele prevăzute în contractul de delegare a gestiunii, a rapoartelor lunare, trimestriale și anuale</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13</w:t>
            </w:r>
          </w:p>
        </w:tc>
        <w:tc>
          <w:tcPr>
            <w:tcW w:w="1134"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3.8</w:t>
            </w:r>
          </w:p>
        </w:tc>
        <w:tc>
          <w:tcPr>
            <w:tcW w:w="4066" w:type="dxa"/>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Calibri Light"/>
                <w:sz w:val="20"/>
                <w:szCs w:val="20"/>
                <w:lang w:val="ro-RO"/>
              </w:rPr>
              <w:t>Numărul de reclamații scrise la care Operatorul a răspuns în 30 de zile de la data primirii reclamației, raportat la numărul total de reclamații scrise</w:t>
            </w:r>
          </w:p>
        </w:tc>
        <w:tc>
          <w:tcPr>
            <w:tcW w:w="709"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100%</w:t>
            </w:r>
          </w:p>
        </w:tc>
        <w:tc>
          <w:tcPr>
            <w:tcW w:w="3557" w:type="dxa"/>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lei/reclamație la care operatorul nu a răspuns în termen</w:t>
            </w:r>
          </w:p>
        </w:tc>
        <w:tc>
          <w:tcPr>
            <w:tcW w:w="1731" w:type="dxa"/>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14</w:t>
            </w:r>
          </w:p>
        </w:tc>
        <w:tc>
          <w:tcPr>
            <w:tcW w:w="113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3.13</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Arial"/>
                <w:sz w:val="20"/>
                <w:szCs w:val="20"/>
                <w:lang w:val="ro-RO"/>
              </w:rPr>
              <w:t>Prestarea activității în afara parametrilor cantitativi și calitativi stabiliți prin contractul de delegare de gestiune</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0</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5.000 lei/eveniment</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Borders>
              <w:top w:val="single" w:sz="4" w:space="0" w:color="9CC2E5"/>
              <w:bottom w:val="single" w:sz="4" w:space="0" w:color="9CC2E5"/>
            </w:tcBorders>
            <w:shd w:val="clear" w:color="auto" w:fill="FFF2CC"/>
          </w:tcPr>
          <w:p>
            <w:pPr>
              <w:widowControl w:val="0"/>
              <w:snapToGrid w:val="0"/>
              <w:spacing w:after="0" w:line="240" w:lineRule="auto"/>
              <w:jc w:val="center"/>
              <w:rPr>
                <w:rFonts w:ascii="Verdana" w:eastAsia="Calibri" w:hAnsi="Verdana" w:cs="Calibri Light"/>
                <w:b/>
                <w:bCs/>
                <w:sz w:val="20"/>
                <w:szCs w:val="20"/>
                <w:lang w:val="ro-RO"/>
              </w:rPr>
            </w:pPr>
          </w:p>
        </w:tc>
        <w:tc>
          <w:tcPr>
            <w:tcW w:w="1134" w:type="dxa"/>
            <w:tcBorders>
              <w:top w:val="single" w:sz="4" w:space="0" w:color="9CC2E5"/>
              <w:bottom w:val="single" w:sz="4" w:space="0" w:color="9CC2E5"/>
            </w:tcBorders>
            <w:shd w:val="clear" w:color="auto" w:fill="FFF2CC"/>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b/>
                <w:bCs/>
                <w:sz w:val="20"/>
                <w:szCs w:val="20"/>
                <w:lang w:val="ro-RO"/>
              </w:rPr>
              <w:t>4</w:t>
            </w:r>
          </w:p>
        </w:tc>
        <w:tc>
          <w:tcPr>
            <w:tcW w:w="12756" w:type="dxa"/>
            <w:gridSpan w:val="5"/>
            <w:tcBorders>
              <w:top w:val="single" w:sz="4" w:space="0" w:color="9CC2E5"/>
              <w:bottom w:val="single" w:sz="4" w:space="0" w:color="9CC2E5"/>
            </w:tcBorders>
            <w:shd w:val="clear" w:color="auto" w:fill="FFF2CC"/>
            <w:vAlign w:val="center"/>
          </w:tcPr>
          <w:p>
            <w:pPr>
              <w:widowControl w:val="0"/>
              <w:snapToGrid w:val="0"/>
              <w:spacing w:after="0" w:line="240" w:lineRule="auto"/>
              <w:rPr>
                <w:rFonts w:ascii="Verdana" w:eastAsia="Calibri" w:hAnsi="Verdana" w:cs="Calibri Light"/>
                <w:b/>
                <w:bCs/>
                <w:sz w:val="20"/>
                <w:szCs w:val="20"/>
                <w:lang w:val="ro-RO"/>
              </w:rPr>
            </w:pPr>
            <w:r>
              <w:rPr>
                <w:rFonts w:ascii="Verdana" w:eastAsia="Calibri" w:hAnsi="Verdana" w:cs="Arial"/>
                <w:b/>
                <w:bCs/>
                <w:sz w:val="20"/>
                <w:szCs w:val="20"/>
                <w:lang w:val="ro-RO"/>
              </w:rPr>
              <w:t>Respectarea reglementărilor specifice din domeniul protecției mediului și al sănătății populației</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15</w:t>
            </w:r>
          </w:p>
        </w:tc>
        <w:tc>
          <w:tcPr>
            <w:tcW w:w="113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4.1</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Arial"/>
                <w:sz w:val="20"/>
                <w:szCs w:val="20"/>
                <w:lang w:val="ro-RO"/>
              </w:rPr>
              <w:t>Neconformități legate de modul de colectare și transport sau operare a instalațiilor, sesizate de către autoritățile competente.</w:t>
            </w:r>
          </w:p>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Arial"/>
                <w:sz w:val="20"/>
                <w:szCs w:val="20"/>
                <w:lang w:val="ro-RO"/>
              </w:rPr>
              <w:t>Numărul de rapoarte de control, finalizate prin procese verbale prin care autoritățile competente aplică sancțiuni ca urmare prestării neconforme a serviciului, ca procent din numărul total de controale efectuate de autoritățile competente</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max. 10%</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Times New Roman"/>
                <w:sz w:val="20"/>
                <w:szCs w:val="20"/>
                <w:lang w:val="ro-RO"/>
              </w:rPr>
              <w:t>Datele sunt folosite în scop de monitorizare</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Trimestrial</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16</w:t>
            </w:r>
          </w:p>
        </w:tc>
        <w:tc>
          <w:tcPr>
            <w:tcW w:w="113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4.2</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Calibri Light"/>
                <w:b/>
                <w:bCs/>
                <w:sz w:val="20"/>
                <w:szCs w:val="20"/>
                <w:lang w:val="ro-RO"/>
              </w:rPr>
            </w:pPr>
            <w:r>
              <w:rPr>
                <w:rFonts w:ascii="Verdana" w:eastAsia="Calibri" w:hAnsi="Verdana" w:cs="Arial"/>
                <w:sz w:val="20"/>
                <w:szCs w:val="20"/>
                <w:lang w:val="ro-RO"/>
              </w:rPr>
              <w:t>Măsuri implementate la termenele stabilite de către autoritățile competente</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100%</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Arial"/>
                <w:sz w:val="20"/>
                <w:szCs w:val="20"/>
                <w:lang w:val="ro-RO"/>
              </w:rPr>
              <w:t xml:space="preserve">10.000 lei pentru fiecare măsură de remediere dispusă de autoritățile competente care nu a fost implementată în termenul </w:t>
            </w:r>
            <w:r>
              <w:rPr>
                <w:rFonts w:ascii="Verdana" w:eastAsia="Calibri" w:hAnsi="Verdana" w:cs="Arial"/>
                <w:sz w:val="20"/>
                <w:szCs w:val="20"/>
                <w:lang w:val="ro-RO"/>
              </w:rPr>
              <w:lastRenderedPageBreak/>
              <w:t>stabilit</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lastRenderedPageBreak/>
              <w:t>Trimestrial</w:t>
            </w:r>
          </w:p>
        </w:tc>
      </w:tr>
      <w:tr>
        <w:trPr>
          <w:jc w:val="center"/>
        </w:trPr>
        <w:tc>
          <w:tcPr>
            <w:tcW w:w="704" w:type="dxa"/>
            <w:tcBorders>
              <w:top w:val="single" w:sz="4" w:space="0" w:color="9CC2E5"/>
              <w:bottom w:val="single" w:sz="4" w:space="0" w:color="9CC2E5"/>
            </w:tcBorders>
            <w:shd w:val="clear" w:color="auto" w:fill="FFF2CC"/>
          </w:tcPr>
          <w:p>
            <w:pPr>
              <w:widowControl w:val="0"/>
              <w:snapToGrid w:val="0"/>
              <w:spacing w:after="0" w:line="240" w:lineRule="auto"/>
              <w:jc w:val="center"/>
              <w:rPr>
                <w:rFonts w:ascii="Verdana" w:eastAsia="Calibri" w:hAnsi="Verdana" w:cs="Calibri Light"/>
                <w:b/>
                <w:bCs/>
                <w:sz w:val="20"/>
                <w:szCs w:val="20"/>
                <w:lang w:val="ro-RO"/>
              </w:rPr>
            </w:pPr>
          </w:p>
        </w:tc>
        <w:tc>
          <w:tcPr>
            <w:tcW w:w="1134" w:type="dxa"/>
            <w:tcBorders>
              <w:top w:val="single" w:sz="4" w:space="0" w:color="9CC2E5"/>
              <w:bottom w:val="single" w:sz="4" w:space="0" w:color="9CC2E5"/>
            </w:tcBorders>
            <w:shd w:val="clear" w:color="auto" w:fill="FFF2CC"/>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b/>
                <w:bCs/>
                <w:sz w:val="20"/>
                <w:szCs w:val="20"/>
                <w:lang w:val="ro-RO"/>
              </w:rPr>
              <w:t>5</w:t>
            </w:r>
          </w:p>
        </w:tc>
        <w:tc>
          <w:tcPr>
            <w:tcW w:w="12756" w:type="dxa"/>
            <w:gridSpan w:val="5"/>
            <w:tcBorders>
              <w:top w:val="single" w:sz="4" w:space="0" w:color="9CC2E5"/>
              <w:bottom w:val="single" w:sz="4" w:space="0" w:color="9CC2E5"/>
            </w:tcBorders>
            <w:shd w:val="clear" w:color="auto" w:fill="FFF2CC"/>
            <w:vAlign w:val="center"/>
          </w:tcPr>
          <w:p>
            <w:pPr>
              <w:widowControl w:val="0"/>
              <w:snapToGrid w:val="0"/>
              <w:spacing w:after="0" w:line="240" w:lineRule="auto"/>
              <w:rPr>
                <w:rFonts w:ascii="Verdana" w:eastAsia="Calibri" w:hAnsi="Verdana" w:cs="Calibri Light"/>
                <w:b/>
                <w:bCs/>
                <w:sz w:val="20"/>
                <w:szCs w:val="20"/>
                <w:lang w:val="ro-RO"/>
              </w:rPr>
            </w:pPr>
            <w:r>
              <w:rPr>
                <w:rFonts w:ascii="Verdana" w:eastAsia="Calibri" w:hAnsi="Verdana" w:cs="Arial"/>
                <w:b/>
                <w:bCs/>
                <w:sz w:val="20"/>
                <w:szCs w:val="20"/>
                <w:lang w:val="ro-RO"/>
              </w:rPr>
              <w:t>Implementarea unor sisteme de management al calității, al mediului și al securității și sănătății muncii</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17</w:t>
            </w:r>
          </w:p>
        </w:tc>
        <w:tc>
          <w:tcPr>
            <w:tcW w:w="1134" w:type="dxa"/>
            <w:tcBorders>
              <w:top w:val="single" w:sz="4" w:space="0" w:color="9CC2E5"/>
              <w:bottom w:val="single" w:sz="4" w:space="0" w:color="9CC2E5"/>
            </w:tcBorders>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5.1</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Times New Roman"/>
                <w:sz w:val="20"/>
                <w:szCs w:val="20"/>
                <w:lang w:val="ro-RO"/>
              </w:rPr>
              <w:t>Numărul de neconformități constatate de organismul de certificare în urma auditurilor, pentru sistemul de management al calității în prestarea serviciului de salubrizare</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max. 2</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Arial"/>
                <w:sz w:val="20"/>
                <w:szCs w:val="20"/>
                <w:lang w:val="ro-RO"/>
              </w:rPr>
            </w:pPr>
            <w:r>
              <w:rPr>
                <w:rFonts w:ascii="Verdana" w:eastAsia="Calibri" w:hAnsi="Verdana" w:cs="Times New Roman"/>
                <w:sz w:val="20"/>
                <w:szCs w:val="20"/>
                <w:lang w:val="ro-RO"/>
              </w:rPr>
              <w:t>Datele sunt folosite în scop de monitorizare</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18</w:t>
            </w:r>
          </w:p>
        </w:tc>
        <w:tc>
          <w:tcPr>
            <w:tcW w:w="1134" w:type="dxa"/>
            <w:tcBorders>
              <w:top w:val="single" w:sz="4" w:space="0" w:color="9CC2E5"/>
              <w:bottom w:val="single" w:sz="4" w:space="0" w:color="9CC2E5"/>
            </w:tcBorders>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5.2</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Arial"/>
                <w:sz w:val="20"/>
                <w:szCs w:val="20"/>
                <w:lang w:val="ro-RO"/>
              </w:rPr>
            </w:pPr>
            <w:r>
              <w:rPr>
                <w:rFonts w:ascii="Verdana" w:eastAsia="Calibri" w:hAnsi="Verdana" w:cs="Times New Roman"/>
                <w:sz w:val="20"/>
                <w:szCs w:val="20"/>
                <w:lang w:val="ro-RO"/>
              </w:rPr>
              <w:t>Numărul de neconformități constatate de organismul de certificare în urma auditurilor, pentru sistemul de management al mediului</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nr.</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r>
              <w:rPr>
                <w:rFonts w:ascii="Verdana" w:eastAsia="Calibri" w:hAnsi="Verdana" w:cs="Calibri Light"/>
                <w:sz w:val="20"/>
                <w:szCs w:val="20"/>
                <w:lang w:val="ro-RO"/>
              </w:rPr>
              <w:t>max. 2</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Arial"/>
                <w:sz w:val="20"/>
                <w:szCs w:val="20"/>
                <w:lang w:val="ro-RO"/>
              </w:rPr>
            </w:pPr>
            <w:r>
              <w:rPr>
                <w:rFonts w:ascii="Verdana" w:eastAsia="Calibri" w:hAnsi="Verdana" w:cs="Times New Roman"/>
                <w:sz w:val="20"/>
                <w:szCs w:val="20"/>
                <w:lang w:val="ro-RO"/>
              </w:rPr>
              <w:t>Datele sunt folosite în scop de monitorizare</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r>
        <w:trPr>
          <w:jc w:val="center"/>
        </w:trPr>
        <w:tc>
          <w:tcPr>
            <w:tcW w:w="704"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sz w:val="20"/>
                <w:szCs w:val="20"/>
                <w:lang w:val="ro-RO"/>
              </w:rPr>
            </w:pPr>
          </w:p>
          <w:p>
            <w:pPr>
              <w:widowControl w:val="0"/>
              <w:snapToGrid w:val="0"/>
              <w:spacing w:after="0" w:line="240" w:lineRule="auto"/>
              <w:jc w:val="both"/>
              <w:rPr>
                <w:rFonts w:ascii="Verdana" w:eastAsia="Calibri" w:hAnsi="Verdana" w:cs="Calibri Light"/>
                <w:sz w:val="20"/>
                <w:szCs w:val="20"/>
                <w:lang w:val="ro-RO"/>
              </w:rPr>
            </w:pPr>
            <w:r>
              <w:rPr>
                <w:rFonts w:ascii="Verdana" w:eastAsia="Calibri" w:hAnsi="Verdana" w:cs="Calibri Light"/>
                <w:sz w:val="20"/>
                <w:szCs w:val="20"/>
                <w:lang w:val="ro-RO"/>
              </w:rPr>
              <w:t>19</w:t>
            </w:r>
          </w:p>
        </w:tc>
        <w:tc>
          <w:tcPr>
            <w:tcW w:w="1134" w:type="dxa"/>
            <w:tcBorders>
              <w:top w:val="single" w:sz="4" w:space="0" w:color="9CC2E5"/>
              <w:bottom w:val="single" w:sz="4" w:space="0" w:color="9CC2E5"/>
            </w:tcBorders>
            <w:vAlign w:val="center"/>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5.3</w:t>
            </w:r>
          </w:p>
        </w:tc>
        <w:tc>
          <w:tcPr>
            <w:tcW w:w="4066" w:type="dxa"/>
            <w:tcBorders>
              <w:top w:val="single" w:sz="4" w:space="0" w:color="9CC2E5"/>
              <w:bottom w:val="single" w:sz="4" w:space="0" w:color="9CC2E5"/>
            </w:tcBorders>
          </w:tcPr>
          <w:p>
            <w:pPr>
              <w:widowControl w:val="0"/>
              <w:snapToGrid w:val="0"/>
              <w:spacing w:after="0" w:line="240" w:lineRule="auto"/>
              <w:jc w:val="both"/>
              <w:rPr>
                <w:rFonts w:ascii="Verdana" w:eastAsia="Calibri" w:hAnsi="Verdana" w:cs="Arial"/>
                <w:b/>
                <w:bCs/>
                <w:sz w:val="20"/>
                <w:szCs w:val="20"/>
                <w:lang w:val="ro-RO"/>
              </w:rPr>
            </w:pPr>
            <w:r>
              <w:rPr>
                <w:rFonts w:ascii="Verdana" w:eastAsia="Calibri" w:hAnsi="Verdana" w:cs="Times New Roman"/>
                <w:sz w:val="20"/>
                <w:szCs w:val="20"/>
                <w:lang w:val="ro-RO"/>
              </w:rPr>
              <w:t>Numărul de neconformități constatate de organismul de certificare în urma auditurilor, pentru sistemul de management al sănătății și securității ocupaționale în prestarea serviciului de salubrizare</w:t>
            </w:r>
          </w:p>
        </w:tc>
        <w:tc>
          <w:tcPr>
            <w:tcW w:w="709"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nr.</w:t>
            </w:r>
          </w:p>
        </w:tc>
        <w:tc>
          <w:tcPr>
            <w:tcW w:w="2693"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max. 2</w:t>
            </w:r>
          </w:p>
        </w:tc>
        <w:tc>
          <w:tcPr>
            <w:tcW w:w="3557"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Arial"/>
                <w:b/>
                <w:bCs/>
                <w:sz w:val="20"/>
                <w:szCs w:val="20"/>
                <w:lang w:val="ro-RO"/>
              </w:rPr>
            </w:pPr>
            <w:r>
              <w:rPr>
                <w:rFonts w:ascii="Verdana" w:eastAsia="Calibri" w:hAnsi="Verdana" w:cs="Times New Roman"/>
                <w:sz w:val="20"/>
                <w:szCs w:val="20"/>
                <w:lang w:val="ro-RO"/>
              </w:rPr>
              <w:t>Datele sunt folosite în scop de monitorizare</w:t>
            </w:r>
          </w:p>
        </w:tc>
        <w:tc>
          <w:tcPr>
            <w:tcW w:w="1731" w:type="dxa"/>
            <w:tcBorders>
              <w:top w:val="single" w:sz="4" w:space="0" w:color="9CC2E5"/>
              <w:bottom w:val="single" w:sz="4" w:space="0" w:color="9CC2E5"/>
            </w:tcBorders>
          </w:tcPr>
          <w:p>
            <w:pPr>
              <w:widowControl w:val="0"/>
              <w:snapToGrid w:val="0"/>
              <w:spacing w:after="0" w:line="240" w:lineRule="auto"/>
              <w:jc w:val="center"/>
              <w:rPr>
                <w:rFonts w:ascii="Verdana" w:eastAsia="Calibri" w:hAnsi="Verdana" w:cs="Calibri Light"/>
                <w:b/>
                <w:bCs/>
                <w:sz w:val="20"/>
                <w:szCs w:val="20"/>
                <w:lang w:val="ro-RO"/>
              </w:rPr>
            </w:pPr>
            <w:r>
              <w:rPr>
                <w:rFonts w:ascii="Verdana" w:eastAsia="Calibri" w:hAnsi="Verdana" w:cs="Calibri Light"/>
                <w:sz w:val="20"/>
                <w:szCs w:val="20"/>
                <w:lang w:val="ro-RO"/>
              </w:rPr>
              <w:t>Anual</w:t>
            </w:r>
          </w:p>
        </w:tc>
      </w:tr>
    </w:tbl>
    <w:p>
      <w:pPr>
        <w:tabs>
          <w:tab w:val="left" w:pos="5827"/>
        </w:tabs>
        <w:spacing w:after="120" w:line="240" w:lineRule="auto"/>
        <w:jc w:val="both"/>
        <w:rPr>
          <w:rFonts w:ascii="Verdana" w:hAnsi="Verdana"/>
          <w:sz w:val="20"/>
          <w:szCs w:val="20"/>
        </w:rPr>
      </w:pPr>
    </w:p>
    <w:p>
      <w:pPr>
        <w:rPr>
          <w:rFonts w:ascii="Verdana" w:hAnsi="Verdana"/>
        </w:rPr>
      </w:pPr>
    </w:p>
    <w:sectPr>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567" w:bottom="1133" w:left="992" w:header="709" w:footer="573" w:gutter="0"/>
      <w:pgNumType w:start="2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4" w:space="0" w:color="auto"/>
      </w:pBdr>
      <w:tabs>
        <w:tab w:val="center" w:pos="4320"/>
        <w:tab w:val="right" w:pos="8640"/>
      </w:tabs>
      <w:spacing w:after="0"/>
      <w:jc w:val="center"/>
      <w:outlineLvl w:val="0"/>
      <w:rPr>
        <w:rFonts w:ascii="Arial" w:eastAsia="Times New Roman" w:hAnsi="Arial" w:cs="Times New Roman"/>
        <w:b/>
        <w:noProof/>
        <w:sz w:val="28"/>
        <w:szCs w:val="28"/>
      </w:rPr>
    </w:pPr>
    <w:bookmarkStart w:id="1" w:name="_GoBack"/>
    <w:bookmarkEnd w:id="1"/>
    <w:r>
      <w:rPr>
        <w:rFonts w:ascii="Arial" w:eastAsia="Times New Roman" w:hAnsi="Arial" w:cs="Times New Roman"/>
        <w:b/>
        <w:noProof/>
        <w:sz w:val="28"/>
        <w:szCs w:val="28"/>
      </w:rPr>
      <w:t>HOTÃRÂREA NR. ________din_______________2026</w:t>
    </w:r>
  </w:p>
  <w:p>
    <w:pPr>
      <w:pBdr>
        <w:bottom w:val="single" w:sz="4" w:space="1" w:color="auto"/>
      </w:pBdr>
      <w:tabs>
        <w:tab w:val="center" w:pos="4320"/>
        <w:tab w:val="right" w:pos="8640"/>
      </w:tabs>
      <w:spacing w:after="0"/>
      <w:jc w:val="center"/>
      <w:rPr>
        <w:rFonts w:ascii="Arial" w:eastAsia="Times New Roman" w:hAnsi="Arial" w:cs="Times New Roman"/>
        <w:b/>
        <w:sz w:val="28"/>
        <w:szCs w:val="28"/>
      </w:rPr>
    </w:pPr>
    <w:r>
      <w:rPr>
        <w:rFonts w:ascii="Arial" w:eastAsia="Times New Roman" w:hAnsi="Arial" w:cs="Times New Roman"/>
        <w:b/>
        <w:noProof/>
        <w:sz w:val="28"/>
        <w:szCs w:val="28"/>
      </w:rPr>
      <w:t xml:space="preserve">Pag. nr. </w:t>
    </w:r>
    <w:r>
      <w:rPr>
        <w:rFonts w:ascii="Arial" w:eastAsia="Times New Roman" w:hAnsi="Arial" w:cs="Times New Roman"/>
        <w:b/>
        <w:sz w:val="28"/>
        <w:szCs w:val="28"/>
      </w:rPr>
      <w:fldChar w:fldCharType="begin"/>
    </w:r>
    <w:r>
      <w:rPr>
        <w:rFonts w:ascii="Arial" w:eastAsia="Times New Roman" w:hAnsi="Arial" w:cs="Times New Roman"/>
        <w:b/>
        <w:sz w:val="28"/>
        <w:szCs w:val="28"/>
      </w:rPr>
      <w:instrText xml:space="preserve"> PAGE </w:instrText>
    </w:r>
    <w:r>
      <w:rPr>
        <w:rFonts w:ascii="Arial" w:eastAsia="Times New Roman" w:hAnsi="Arial" w:cs="Times New Roman"/>
        <w:b/>
        <w:sz w:val="28"/>
        <w:szCs w:val="28"/>
      </w:rPr>
      <w:fldChar w:fldCharType="separate"/>
    </w:r>
    <w:r>
      <w:rPr>
        <w:rFonts w:ascii="Arial" w:eastAsia="Times New Roman" w:hAnsi="Arial" w:cs="Times New Roman"/>
        <w:b/>
        <w:noProof/>
        <w:sz w:val="28"/>
        <w:szCs w:val="28"/>
      </w:rPr>
      <w:t>247</w:t>
    </w:r>
    <w:r>
      <w:rPr>
        <w:rFonts w:ascii="Arial" w:eastAsia="Times New Roman" w:hAnsi="Arial" w:cs="Times New Roman"/>
        <w:b/>
        <w:sz w:val="28"/>
        <w:szCs w:val="28"/>
      </w:rPr>
      <w:fldChar w:fldCharType="end"/>
    </w:r>
  </w:p>
  <w:p>
    <w:pPr>
      <w:pStyle w:val="Header"/>
    </w:pPr>
  </w:p>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53653"/>
    <w:multiLevelType w:val="hybridMultilevel"/>
    <w:tmpl w:val="E9BA257E"/>
    <w:lvl w:ilvl="0" w:tplc="A050B70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AC277-78C8-47CA-A7E7-C6A0642E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0" w:line="240" w:lineRule="auto"/>
      <w:jc w:val="both"/>
    </w:pPr>
    <w:rPr>
      <w:rFonts w:ascii="Verdana" w:hAnsi="Verdana"/>
      <w:sz w:val="20"/>
      <w:szCs w:val="20"/>
    </w:rPr>
  </w:style>
  <w:style w:type="character" w:customStyle="1" w:styleId="FootnoteTextChar">
    <w:name w:val="Footnote Text Char"/>
    <w:basedOn w:val="DefaultParagraphFont"/>
    <w:link w:val="FootnoteText"/>
    <w:uiPriority w:val="99"/>
    <w:semiHidden/>
    <w:rPr>
      <w:rFonts w:ascii="Verdana" w:hAnsi="Verdana"/>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apple-converted-space">
    <w:name w:val="apple-converted-space"/>
    <w:basedOn w:val="DefaultParagraphFont"/>
  </w:style>
  <w:style w:type="paragraph" w:customStyle="1" w:styleId="ydpab1dad8emsonormal">
    <w:name w:val="ydpab1dad8emsonormal"/>
    <w:basedOn w:val="Normal"/>
    <w:pPr>
      <w:spacing w:before="100" w:beforeAutospacing="1" w:after="100" w:afterAutospacing="1" w:line="240" w:lineRule="auto"/>
    </w:pPr>
    <w:rPr>
      <w:rFonts w:ascii="Times New Roman" w:eastAsia="Times New Roman" w:hAnsi="Times New Roman" w:cs="Times New Roman"/>
      <w:sz w:val="24"/>
      <w:szCs w:val="24"/>
      <w:lang w:val="ro-RO" w:eastAsia="en-GB"/>
    </w:rPr>
  </w:style>
  <w:style w:type="character" w:customStyle="1" w:styleId="ydpab1dad8emsofootnotereference">
    <w:name w:val="ydpab1dad8emsofootnotereference"/>
    <w:basedOn w:val="DefaultParagraphFont"/>
  </w:style>
  <w:style w:type="paragraph" w:styleId="Revision">
    <w:name w:val="Revision"/>
    <w:hidden/>
    <w:uiPriority w:val="99"/>
    <w:semiHidden/>
    <w:pPr>
      <w:spacing w:after="0" w:line="240" w:lineRule="auto"/>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62ED-D80A-4894-9C53-DE1C38E3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t-user</cp:lastModifiedBy>
  <cp:revision>7</cp:revision>
  <cp:lastPrinted>2026-05-22T04:25:00Z</cp:lastPrinted>
  <dcterms:created xsi:type="dcterms:W3CDTF">2026-05-20T20:26:00Z</dcterms:created>
  <dcterms:modified xsi:type="dcterms:W3CDTF">2026-05-22T04:26:00Z</dcterms:modified>
</cp:coreProperties>
</file>